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210" w:rsidRPr="006835DA" w:rsidRDefault="00E44210" w:rsidP="00E44210">
      <w:pPr>
        <w:widowControl/>
        <w:spacing w:line="480" w:lineRule="atLeast"/>
        <w:ind w:firstLine="480"/>
        <w:jc w:val="center"/>
        <w:rPr>
          <w:rFonts w:ascii="微软雅黑" w:eastAsia="微软雅黑" w:hAnsi="微软雅黑" w:cs="宋体"/>
          <w:b/>
          <w:bCs/>
          <w:color w:val="4B4B4B"/>
          <w:kern w:val="0"/>
          <w:sz w:val="24"/>
          <w:szCs w:val="24"/>
        </w:rPr>
      </w:pPr>
      <w:bookmarkStart w:id="0" w:name="_GoBack"/>
      <w:r w:rsidRPr="006835DA">
        <w:rPr>
          <w:rFonts w:ascii="微软雅黑" w:eastAsia="微软雅黑" w:hAnsi="微软雅黑" w:cs="宋体" w:hint="eastAsia"/>
          <w:b/>
          <w:bCs/>
          <w:color w:val="4B4B4B"/>
          <w:kern w:val="0"/>
          <w:sz w:val="24"/>
          <w:szCs w:val="24"/>
        </w:rPr>
        <w:t>中华人民共和国教育部令第40号</w:t>
      </w:r>
    </w:p>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w:t>
      </w:r>
      <w:r w:rsidRPr="006835DA">
        <w:rPr>
          <w:rFonts w:ascii="微软雅黑" w:eastAsia="微软雅黑" w:hAnsi="微软雅黑" w:cs="宋体" w:hint="eastAsia"/>
          <w:b/>
          <w:bCs/>
          <w:color w:val="4B4B4B"/>
          <w:kern w:val="0"/>
          <w:sz w:val="24"/>
          <w:szCs w:val="24"/>
          <w:bdr w:val="none" w:sz="0" w:space="0" w:color="auto" w:frame="1"/>
        </w:rPr>
        <w:t>高等学校预防与处理学术不端行为办法</w:t>
      </w:r>
    </w:p>
    <w:bookmarkEnd w:id="0"/>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b/>
          <w:bCs/>
          <w:color w:val="4B4B4B"/>
          <w:kern w:val="0"/>
          <w:sz w:val="24"/>
          <w:szCs w:val="24"/>
          <w:bdr w:val="none" w:sz="0" w:space="0" w:color="auto" w:frame="1"/>
        </w:rPr>
        <w:t xml:space="preserve">　　第一章　总则</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第一条　为有效预防和严肃查处高等学校发生的学术不端行为，维护学术诚信，促进学术创新和发展，根据《中华人民共和国高等教育法》《中华人民共和国科学技术进步法》《中华人民共和国学位条例》等法律法规，制定本办法。</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第二条　本办法所称学术不端行为是指高等学校及其教学科研人员、管理人员和学生，在科学研究及相关活动中发生的违反公认的学术准则、违背学术诚信的行为。</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第三条　高等学校预防与处理学术不端行为应坚持预防为主、教育与惩戒结合的原则。</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第四条　教育部、国务院有关部门和省级教育部门负责制定高等学校学风建设的宏观政策，指导和监督高等学校学风建设工作，建立健全对所主管高等学校重大学术不端行为的处理机制，建立高校学术不端行为的通报与相关信息公开制度。</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第五条　高等学校是学术不端行为预防与处理的主体。高等学校应当建设集教育、预防、监督、惩治于一体的学术诚信体系，建立由主要负责人领导的学风建设工作机制，明确职责分工；依据本办法完善本校学术不端行为预防与处理的规则与程序。</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高等学校应当充分发挥学术委员会在学风建设方面的作用，支持和保障学术委员会依法履行职责，调查、认定学术不端行为。</w:t>
      </w:r>
    </w:p>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w:t>
      </w:r>
      <w:r w:rsidRPr="006835DA">
        <w:rPr>
          <w:rFonts w:ascii="微软雅黑" w:eastAsia="微软雅黑" w:hAnsi="微软雅黑" w:cs="宋体" w:hint="eastAsia"/>
          <w:b/>
          <w:bCs/>
          <w:color w:val="4B4B4B"/>
          <w:kern w:val="0"/>
          <w:sz w:val="24"/>
          <w:szCs w:val="24"/>
          <w:bdr w:val="none" w:sz="0" w:space="0" w:color="auto" w:frame="1"/>
        </w:rPr>
        <w:t>第二章　教育与预防</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lastRenderedPageBreak/>
        <w:t xml:space="preserve">　　第六条　高等学校应当完善学术治理体系，建立科学公正的学术评价和学术发展制度，营造鼓励创新、宽容失败、不骄不躁、风清气正的学术环境。</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高等学校教学科研人员、管理人员、学生在科研活动中应当遵循实事求是的科学精神和严谨认真的治学态度，恪守学术诚信，遵循学术准则，尊重和保护他人知识产权等合法权益。</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第七条　高等学校应当将学术规范和学术诚信教育，作为教师培训和学生教育的必要内容，以多种形式开展教育、培训。</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教师对其指导的学生应当进行学术规范、学术诚信教育和指导，对学生公开发表论文、研究和撰写学位论文是否符合学术规范、学术诚信要求，进行必要的检查与审核。</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第八条　高等学校应当利用信息技术等手段，建立对学术成果、学位论文所涉及内容的知识产权查询制度，健全学术规范监督机制。</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第九条　高等学校应当建立健全科研管理制度，在合理期限内保存研究的原始数据和资料，保证科研档案和数据的真实性、完整性。</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高等学校应当完善科研项目评审、学术成果鉴定程序，结合学科特点，对非涉密的科研项目申报材料、学术成果的基本信息以适当方式进行公开。</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第十条　高等学校应当遵循学术研究规律，建立科学的学术水平考核评价标准、办法，引导教学科研人员和学生潜心研究，形成具有创新性、独创性的研究成果。</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第十一条　高等学校应当建立教学科研人员学术诚信记录，在年度考核、职称评定、岗位聘用、课题立项、人才计划、评优奖励中强化学术诚信考核。</w:t>
      </w:r>
    </w:p>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w:t>
      </w:r>
      <w:r w:rsidRPr="006835DA">
        <w:rPr>
          <w:rFonts w:ascii="微软雅黑" w:eastAsia="微软雅黑" w:hAnsi="微软雅黑" w:cs="宋体" w:hint="eastAsia"/>
          <w:b/>
          <w:bCs/>
          <w:color w:val="4B4B4B"/>
          <w:kern w:val="0"/>
          <w:sz w:val="24"/>
          <w:szCs w:val="24"/>
          <w:bdr w:val="none" w:sz="0" w:space="0" w:color="auto" w:frame="1"/>
        </w:rPr>
        <w:t>第三章　受理与调查</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lastRenderedPageBreak/>
        <w:t xml:space="preserve">　　第十二条　高等学校应当明确具体部门，负责受理社会组织、个人对本校教学科研人员、管理人员及学生学术不端行为的举报；有条件的，可以设立专门岗位或者指定专人，负责学术诚信和不端行为举报相关事宜的咨询、受理、调查等工作。</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第十三条　对学术不端行为的举报，一般应当以书面方式实名提出，并符合下列条件：</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（一）有明确的举报对象；</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（二）有实施学术不端行为的事实；</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（三）有客观的证据材料或者查证线索。</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以匿名方式举报，但事实清楚、证据充分或者线索明确的，高等学校应当视情况予以受理。</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第十四条　高等学校对媒体公开报道、其他学术机构或者社会组织主动披露的涉及本校人员的学术不端行为，应当依据职权，主动进行调查处理。</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第十五条　高等学校受理机构认为举报材料符合条件的，应当及时</w:t>
      </w:r>
      <w:proofErr w:type="gramStart"/>
      <w:r w:rsidRPr="006835DA">
        <w:rPr>
          <w:rFonts w:ascii="微软雅黑" w:eastAsia="微软雅黑" w:hAnsi="微软雅黑" w:cs="宋体" w:hint="eastAsia"/>
          <w:color w:val="4B4B4B"/>
          <w:kern w:val="0"/>
          <w:sz w:val="24"/>
          <w:szCs w:val="24"/>
        </w:rPr>
        <w:t>作出</w:t>
      </w:r>
      <w:proofErr w:type="gramEnd"/>
      <w:r w:rsidRPr="006835DA">
        <w:rPr>
          <w:rFonts w:ascii="微软雅黑" w:eastAsia="微软雅黑" w:hAnsi="微软雅黑" w:cs="宋体" w:hint="eastAsia"/>
          <w:color w:val="4B4B4B"/>
          <w:kern w:val="0"/>
          <w:sz w:val="24"/>
          <w:szCs w:val="24"/>
        </w:rPr>
        <w:t>受理决定，并通知举报人。不予受理的，应当书面说明理由。</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第十六条　学术不端行为举报受理后，应当交由学校学术委员会按照相关程序组织开展调查。</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学术委员会可委托有关专家就举报内容的合理性、调查的可能性等进行初步审查，并</w:t>
      </w:r>
      <w:proofErr w:type="gramStart"/>
      <w:r w:rsidRPr="006835DA">
        <w:rPr>
          <w:rFonts w:ascii="微软雅黑" w:eastAsia="微软雅黑" w:hAnsi="微软雅黑" w:cs="宋体" w:hint="eastAsia"/>
          <w:color w:val="4B4B4B"/>
          <w:kern w:val="0"/>
          <w:sz w:val="24"/>
          <w:szCs w:val="24"/>
        </w:rPr>
        <w:t>作出</w:t>
      </w:r>
      <w:proofErr w:type="gramEnd"/>
      <w:r w:rsidRPr="006835DA">
        <w:rPr>
          <w:rFonts w:ascii="微软雅黑" w:eastAsia="微软雅黑" w:hAnsi="微软雅黑" w:cs="宋体" w:hint="eastAsia"/>
          <w:color w:val="4B4B4B"/>
          <w:kern w:val="0"/>
          <w:sz w:val="24"/>
          <w:szCs w:val="24"/>
        </w:rPr>
        <w:t>是否进入正式调查的决定。</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决定不进入正式调查的，应当告知举报人。举报人如有新的证据，可以提出异议。异议成立的，应当进入正式调查。</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第十七条　高等学校学术委员会决定进入正式调查的，应当通知被举报人。</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lastRenderedPageBreak/>
        <w:t xml:space="preserve">　　被调查行为涉及资助项目的，可以同时通知项目资助方。</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第十八条　高等学校学术委员会应当组成调查组，负责对被举报行为进行调查；但对事实清楚、证据确凿、情节简单的被举报行为，也可以采用简易调查程序，具体办法由学术委员会确定。</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调查组应当不少于３人，必要时应当包括学校纪检、监察机构指派的工作人员，可以邀请同行专家参与调查或者以咨询等方式提供学术判断。</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被调查行为涉及资助项目的，可以邀请项目资助方委派相关专业人员参与调查组。</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第十九条　调查组的组成人员与举报人或者被举报人有合作研究、亲属或者导师学生等直接利害关系的，应当回避。</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第二十条　调查可通过查询资料、现场查看、实验检验、询问证人、询问举报人和被举报人等方式进行。调查组认为有必要的，可以委托无利害关系的专家或者第三</w:t>
      </w:r>
      <w:proofErr w:type="gramStart"/>
      <w:r w:rsidRPr="006835DA">
        <w:rPr>
          <w:rFonts w:ascii="微软雅黑" w:eastAsia="微软雅黑" w:hAnsi="微软雅黑" w:cs="宋体" w:hint="eastAsia"/>
          <w:color w:val="4B4B4B"/>
          <w:kern w:val="0"/>
          <w:sz w:val="24"/>
          <w:szCs w:val="24"/>
        </w:rPr>
        <w:t>方专业</w:t>
      </w:r>
      <w:proofErr w:type="gramEnd"/>
      <w:r w:rsidRPr="006835DA">
        <w:rPr>
          <w:rFonts w:ascii="微软雅黑" w:eastAsia="微软雅黑" w:hAnsi="微软雅黑" w:cs="宋体" w:hint="eastAsia"/>
          <w:color w:val="4B4B4B"/>
          <w:kern w:val="0"/>
          <w:sz w:val="24"/>
          <w:szCs w:val="24"/>
        </w:rPr>
        <w:t>机构就有关事项进行独立调查或者验证。</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第二十一条　调查组在调查过程中，应当认真听取被举报人的陈述、申辩，对有关事实、理由和证据进行核实；认为必要的，可以采取听证方式。</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第二十二条　有关单位和个人应当为调查组开展工作提供必要的便利和协助。</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举报人、被举报人、证人及其他有关人员应当如实回答询问，配合调查，提供相关证据材料，不得隐瞒或者提供虚假信息。</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第二十三条　调查过程中，出现知识产权等争议引发的法律纠纷的，且该争议可能影响行为定性的，应当中止调查，待争议解决后重启调查。</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lastRenderedPageBreak/>
        <w:t xml:space="preserve">　　第二十四条　调查组应当在查清事实的基础上形成调查报告。调查报告应当包括学术不端行为责任人的确认、调查过程、事实认定及理由、调查结论等。</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学术不端行为由多人集体做出的，调查报告中应当区别各责任人在行为中所发挥的作用。</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第二十五条　接触举报材料和参与调查处理的人员，不得向无关人员透露举报人、被举报人个人信息及调查情况。</w:t>
      </w:r>
    </w:p>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w:t>
      </w:r>
      <w:r w:rsidRPr="006835DA">
        <w:rPr>
          <w:rFonts w:ascii="微软雅黑" w:eastAsia="微软雅黑" w:hAnsi="微软雅黑" w:cs="宋体" w:hint="eastAsia"/>
          <w:b/>
          <w:bCs/>
          <w:color w:val="4B4B4B"/>
          <w:kern w:val="0"/>
          <w:sz w:val="24"/>
          <w:szCs w:val="24"/>
          <w:bdr w:val="none" w:sz="0" w:space="0" w:color="auto" w:frame="1"/>
        </w:rPr>
        <w:t>第四章　认定</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第二十六条　高等学校学术委员会应当对调查组提交的调查报告进行审查；必要的，应当听取调查组的汇报。</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学术委员会可以召开全体会议或者授权专门委员会对被调查行为是否构成学术不端行为以及行为的性质、情节等</w:t>
      </w:r>
      <w:proofErr w:type="gramStart"/>
      <w:r w:rsidRPr="006835DA">
        <w:rPr>
          <w:rFonts w:ascii="微软雅黑" w:eastAsia="微软雅黑" w:hAnsi="微软雅黑" w:cs="宋体" w:hint="eastAsia"/>
          <w:color w:val="4B4B4B"/>
          <w:kern w:val="0"/>
          <w:sz w:val="24"/>
          <w:szCs w:val="24"/>
        </w:rPr>
        <w:t>作出</w:t>
      </w:r>
      <w:proofErr w:type="gramEnd"/>
      <w:r w:rsidRPr="006835DA">
        <w:rPr>
          <w:rFonts w:ascii="微软雅黑" w:eastAsia="微软雅黑" w:hAnsi="微软雅黑" w:cs="宋体" w:hint="eastAsia"/>
          <w:color w:val="4B4B4B"/>
          <w:kern w:val="0"/>
          <w:sz w:val="24"/>
          <w:szCs w:val="24"/>
        </w:rPr>
        <w:t>认定结论，并依职权</w:t>
      </w:r>
      <w:proofErr w:type="gramStart"/>
      <w:r w:rsidRPr="006835DA">
        <w:rPr>
          <w:rFonts w:ascii="微软雅黑" w:eastAsia="微软雅黑" w:hAnsi="微软雅黑" w:cs="宋体" w:hint="eastAsia"/>
          <w:color w:val="4B4B4B"/>
          <w:kern w:val="0"/>
          <w:sz w:val="24"/>
          <w:szCs w:val="24"/>
        </w:rPr>
        <w:t>作出</w:t>
      </w:r>
      <w:proofErr w:type="gramEnd"/>
      <w:r w:rsidRPr="006835DA">
        <w:rPr>
          <w:rFonts w:ascii="微软雅黑" w:eastAsia="微软雅黑" w:hAnsi="微软雅黑" w:cs="宋体" w:hint="eastAsia"/>
          <w:color w:val="4B4B4B"/>
          <w:kern w:val="0"/>
          <w:sz w:val="24"/>
          <w:szCs w:val="24"/>
        </w:rPr>
        <w:t>处理或建议学校</w:t>
      </w:r>
      <w:proofErr w:type="gramStart"/>
      <w:r w:rsidRPr="006835DA">
        <w:rPr>
          <w:rFonts w:ascii="微软雅黑" w:eastAsia="微软雅黑" w:hAnsi="微软雅黑" w:cs="宋体" w:hint="eastAsia"/>
          <w:color w:val="4B4B4B"/>
          <w:kern w:val="0"/>
          <w:sz w:val="24"/>
          <w:szCs w:val="24"/>
        </w:rPr>
        <w:t>作出</w:t>
      </w:r>
      <w:proofErr w:type="gramEnd"/>
      <w:r w:rsidRPr="006835DA">
        <w:rPr>
          <w:rFonts w:ascii="微软雅黑" w:eastAsia="微软雅黑" w:hAnsi="微软雅黑" w:cs="宋体" w:hint="eastAsia"/>
          <w:color w:val="4B4B4B"/>
          <w:kern w:val="0"/>
          <w:sz w:val="24"/>
          <w:szCs w:val="24"/>
        </w:rPr>
        <w:t>相应处理。</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第二十七条　经调查，确认被举报人在科学研究及相关活动中有下列行为之一的，应当认定为构成学术不端行为：</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（一）剽窃、抄袭、侵占他人学术成果；</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（二）篡改他人研究成果；</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（三）伪造科研数据、资料、文献、注释，或者捏造事实、编造虚假研究成果；</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（四）未参加研究或创作而在研究成果、学术论文上署名，未经他人许可而不当使用他人署名，虚构合作者共同署名，或者多人共同完成研究而在成果中未注明他人工作、贡献；</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lastRenderedPageBreak/>
        <w:t xml:space="preserve">　　（五）在申报课题、成果、奖励和职务评审评定、申请学位等过程中提供虚假学术信息；</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（六）买卖论文、由他人代写或者为他人代写论文；</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（七）其他根据高等学校或者有关学术组织、相关科研管理机构制定的规则，属于学术不端的行为。</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第二十八条　有学术不端行为且有下列情形之一的，应当认定为情节严重：</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（一）造成恶劣影响的；</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（二）存在利益输送或者利益交换的；</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（三）对举报人进行打击报复的；</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（四）有组织实施学术不端行为的；</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（五）多次实施学术不端行为的；</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（六）其他造成严重后果或者恶劣影响的。</w:t>
      </w:r>
    </w:p>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w:t>
      </w:r>
      <w:r w:rsidRPr="006835DA">
        <w:rPr>
          <w:rFonts w:ascii="微软雅黑" w:eastAsia="微软雅黑" w:hAnsi="微软雅黑" w:cs="宋体" w:hint="eastAsia"/>
          <w:b/>
          <w:bCs/>
          <w:color w:val="4B4B4B"/>
          <w:kern w:val="0"/>
          <w:sz w:val="24"/>
          <w:szCs w:val="24"/>
          <w:bdr w:val="none" w:sz="0" w:space="0" w:color="auto" w:frame="1"/>
        </w:rPr>
        <w:t>第五章　处理</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第二十九条　高等学校应当根据学术委员会的认定结论和处理建议，结合行为性质和情节轻重，依职权和规定程序对学术不端行为责任人</w:t>
      </w:r>
      <w:proofErr w:type="gramStart"/>
      <w:r w:rsidRPr="006835DA">
        <w:rPr>
          <w:rFonts w:ascii="微软雅黑" w:eastAsia="微软雅黑" w:hAnsi="微软雅黑" w:cs="宋体" w:hint="eastAsia"/>
          <w:color w:val="4B4B4B"/>
          <w:kern w:val="0"/>
          <w:sz w:val="24"/>
          <w:szCs w:val="24"/>
        </w:rPr>
        <w:t>作出</w:t>
      </w:r>
      <w:proofErr w:type="gramEnd"/>
      <w:r w:rsidRPr="006835DA">
        <w:rPr>
          <w:rFonts w:ascii="微软雅黑" w:eastAsia="微软雅黑" w:hAnsi="微软雅黑" w:cs="宋体" w:hint="eastAsia"/>
          <w:color w:val="4B4B4B"/>
          <w:kern w:val="0"/>
          <w:sz w:val="24"/>
          <w:szCs w:val="24"/>
        </w:rPr>
        <w:t>如下处理：</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（一）通报批评；</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（二）终止或者撤销相关的科研项目，并在一定期限内取消申请资格；</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（三）撤销学术奖励或者荣誉称号；</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（四）辞退或解聘；</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（五）法律、法规及规章规定的其他处理措施。</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同时，可以依照有关规定，给予警告、记过、降低岗位等级或者撤职、开除等处分。</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lastRenderedPageBreak/>
        <w:t xml:space="preserve">　　学术不端行为责任人获得有关部门、机构设立的科研项目、学术奖励或者荣誉称号等利益的，学校应当同时向有关主管部门提出处理建议。</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学生有学术不端行为的，还应当按照学生管理的相关规定，给予相应的学籍处分。</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学术不端行为与获得学位有直接关联的，由学位授予单位作暂缓授予学位、不授予学位或者依法撤销学位等处理。</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第三十条　高等学校对学术不端行为</w:t>
      </w:r>
      <w:proofErr w:type="gramStart"/>
      <w:r w:rsidRPr="006835DA">
        <w:rPr>
          <w:rFonts w:ascii="微软雅黑" w:eastAsia="微软雅黑" w:hAnsi="微软雅黑" w:cs="宋体" w:hint="eastAsia"/>
          <w:color w:val="4B4B4B"/>
          <w:kern w:val="0"/>
          <w:sz w:val="24"/>
          <w:szCs w:val="24"/>
        </w:rPr>
        <w:t>作出</w:t>
      </w:r>
      <w:proofErr w:type="gramEnd"/>
      <w:r w:rsidRPr="006835DA">
        <w:rPr>
          <w:rFonts w:ascii="微软雅黑" w:eastAsia="微软雅黑" w:hAnsi="微软雅黑" w:cs="宋体" w:hint="eastAsia"/>
          <w:color w:val="4B4B4B"/>
          <w:kern w:val="0"/>
          <w:sz w:val="24"/>
          <w:szCs w:val="24"/>
        </w:rPr>
        <w:t>处理决定，应当制作处理决定书，载明以下内容：</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（一）责任人的基本情况；</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（二）经查证的学术不端行为事实；</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（三）处理意见和依据；</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（四）救济途径和期限；</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（五）其他必要内容。</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第三十一条　经调查认定，不构成学术不端行为的，根据被举报人申请，高等学校应当通过一定方式为其消除影响、恢复名誉等。</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调查处理过程中，发现举报人存在捏造事实、诬告陷害等行为的，应当认定为举报不实或者虚假举报，举报人应当承担相应责任。属于本单位人员的，高等学校应当按照有关规定给</w:t>
      </w:r>
      <w:proofErr w:type="gramStart"/>
      <w:r w:rsidRPr="006835DA">
        <w:rPr>
          <w:rFonts w:ascii="微软雅黑" w:eastAsia="微软雅黑" w:hAnsi="微软雅黑" w:cs="宋体" w:hint="eastAsia"/>
          <w:color w:val="4B4B4B"/>
          <w:kern w:val="0"/>
          <w:sz w:val="24"/>
          <w:szCs w:val="24"/>
        </w:rPr>
        <w:t>予处理</w:t>
      </w:r>
      <w:proofErr w:type="gramEnd"/>
      <w:r w:rsidRPr="006835DA">
        <w:rPr>
          <w:rFonts w:ascii="微软雅黑" w:eastAsia="微软雅黑" w:hAnsi="微软雅黑" w:cs="宋体" w:hint="eastAsia"/>
          <w:color w:val="4B4B4B"/>
          <w:kern w:val="0"/>
          <w:sz w:val="24"/>
          <w:szCs w:val="24"/>
        </w:rPr>
        <w:t>；不属于本单位人员的，应通报其所在单位，并提出处理建议。</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第三十二条　参与举报受理、调查和处理的人员违反保密等规定，造成不良影响的，按照有关规定给予处分或其他处理。</w:t>
      </w:r>
    </w:p>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w:t>
      </w:r>
      <w:r w:rsidRPr="006835DA">
        <w:rPr>
          <w:rFonts w:ascii="微软雅黑" w:eastAsia="微软雅黑" w:hAnsi="微软雅黑" w:cs="宋体" w:hint="eastAsia"/>
          <w:b/>
          <w:bCs/>
          <w:color w:val="4B4B4B"/>
          <w:kern w:val="0"/>
          <w:sz w:val="24"/>
          <w:szCs w:val="24"/>
          <w:bdr w:val="none" w:sz="0" w:space="0" w:color="auto" w:frame="1"/>
        </w:rPr>
        <w:t>第六章　复核</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lastRenderedPageBreak/>
        <w:t xml:space="preserve">　　第三十三条　举报人或者学术不端行为责任人对处理决定不服的，可以在收到处理决定之日起30日内，以书面形式向高等学校提出异议或者复核申请。</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异议和复核不影响处理决定的执行。</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第三十四条　高等学校收到异议或者复核申请后，应当交由学术委员会组织讨论，并于15日内</w:t>
      </w:r>
      <w:proofErr w:type="gramStart"/>
      <w:r w:rsidRPr="006835DA">
        <w:rPr>
          <w:rFonts w:ascii="微软雅黑" w:eastAsia="微软雅黑" w:hAnsi="微软雅黑" w:cs="宋体" w:hint="eastAsia"/>
          <w:color w:val="4B4B4B"/>
          <w:kern w:val="0"/>
          <w:sz w:val="24"/>
          <w:szCs w:val="24"/>
        </w:rPr>
        <w:t>作出</w:t>
      </w:r>
      <w:proofErr w:type="gramEnd"/>
      <w:r w:rsidRPr="006835DA">
        <w:rPr>
          <w:rFonts w:ascii="微软雅黑" w:eastAsia="微软雅黑" w:hAnsi="微软雅黑" w:cs="宋体" w:hint="eastAsia"/>
          <w:color w:val="4B4B4B"/>
          <w:kern w:val="0"/>
          <w:sz w:val="24"/>
          <w:szCs w:val="24"/>
        </w:rPr>
        <w:t>是否受理的决定。</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决定受理的，学校或者学术委员会可以另行组织调查组或者委托第三方机构进行调查；决定不予受理的，应当书面通知当事人。</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第三十五条　当事人对复核决定不服，仍以同一事实和理由提出异议或者申请复核的，不予受理；向有关主管部门提出申诉的，按照相关规定执行。</w:t>
      </w:r>
    </w:p>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w:t>
      </w:r>
      <w:r w:rsidRPr="006835DA">
        <w:rPr>
          <w:rFonts w:ascii="微软雅黑" w:eastAsia="微软雅黑" w:hAnsi="微软雅黑" w:cs="宋体" w:hint="eastAsia"/>
          <w:b/>
          <w:bCs/>
          <w:color w:val="4B4B4B"/>
          <w:kern w:val="0"/>
          <w:sz w:val="24"/>
          <w:szCs w:val="24"/>
          <w:bdr w:val="none" w:sz="0" w:space="0" w:color="auto" w:frame="1"/>
        </w:rPr>
        <w:t>第七章　监督</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第三十六条　高等学校应当按年度发布学风建设工作报告，并向社会公开，接受社会监督。</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第三十七条　高等学校处理学术不端行为推诿塞责、隐瞒包庇、查处不力的，主管部门可以直接组织或者委托相关机构查处。</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第三十八条　高等学校对本校发生的学术不端行为，未能及时查处并做出公正结论，造成恶劣影响的，主管部门应当追究相关领导的责任，并进行通报。</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高等学校为获得相关利益，有组织实施学术不端行为的，主管部门调查确认后，应当撤销高等学校由此获得的相关权利、项目以及其他利益，并追究学校主要负责人、直接负责人的责任。</w:t>
      </w:r>
    </w:p>
    <w:p w:rsidR="006835DA" w:rsidRPr="006835DA" w:rsidRDefault="006835DA" w:rsidP="006835DA">
      <w:pPr>
        <w:widowControl/>
        <w:spacing w:line="480" w:lineRule="atLeast"/>
        <w:jc w:val="center"/>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w:t>
      </w:r>
      <w:r w:rsidRPr="006835DA">
        <w:rPr>
          <w:rFonts w:ascii="微软雅黑" w:eastAsia="微软雅黑" w:hAnsi="微软雅黑" w:cs="宋体" w:hint="eastAsia"/>
          <w:b/>
          <w:bCs/>
          <w:color w:val="4B4B4B"/>
          <w:kern w:val="0"/>
          <w:sz w:val="24"/>
          <w:szCs w:val="24"/>
          <w:bdr w:val="none" w:sz="0" w:space="0" w:color="auto" w:frame="1"/>
        </w:rPr>
        <w:t>第八章　附则</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lastRenderedPageBreak/>
        <w:t xml:space="preserve">　　第三十九条　高等学校应当根据本办法，结合学校实际和学科特点，制定本校学术不端行为查处规则及处理办法，明确各类学术不端行为的惩处标准。有关规则应当经学校学术委员会和教职工代表大会讨论通过。</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第四十条　高等学校主管部门对直接受理的学术不端案件，可自行组织调查组或者指定、委托高等学校、有关机构组织调查、认定。对学术不端行为责任人的处理，根据本办法及国家有关规定执行。</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教育系统所属科研机构及其他单位有关人员学术不端行为的调查与处理，可参照本办法执行。</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第四十一条　本办法自2016年9月1日起施行。</w:t>
      </w:r>
    </w:p>
    <w:p w:rsidR="006835DA" w:rsidRPr="006835DA" w:rsidRDefault="006835DA" w:rsidP="006835DA">
      <w:pPr>
        <w:widowControl/>
        <w:spacing w:line="480" w:lineRule="atLeast"/>
        <w:jc w:val="left"/>
        <w:rPr>
          <w:rFonts w:ascii="微软雅黑" w:eastAsia="微软雅黑" w:hAnsi="微软雅黑" w:cs="宋体"/>
          <w:color w:val="4B4B4B"/>
          <w:kern w:val="0"/>
          <w:sz w:val="24"/>
          <w:szCs w:val="24"/>
        </w:rPr>
      </w:pPr>
      <w:r w:rsidRPr="006835DA">
        <w:rPr>
          <w:rFonts w:ascii="微软雅黑" w:eastAsia="微软雅黑" w:hAnsi="微软雅黑" w:cs="宋体" w:hint="eastAsia"/>
          <w:color w:val="4B4B4B"/>
          <w:kern w:val="0"/>
          <w:sz w:val="24"/>
          <w:szCs w:val="24"/>
        </w:rPr>
        <w:t xml:space="preserve">　　教育部此前发布的有关规章、文件中的相关规定与本办法不一致的，以本办法为准。</w:t>
      </w:r>
    </w:p>
    <w:p w:rsidR="00090191" w:rsidRPr="006835DA" w:rsidRDefault="00090191"/>
    <w:sectPr w:rsidR="00090191" w:rsidRPr="006835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4C6" w:rsidRDefault="002154C6" w:rsidP="00E44210">
      <w:r>
        <w:separator/>
      </w:r>
    </w:p>
  </w:endnote>
  <w:endnote w:type="continuationSeparator" w:id="0">
    <w:p w:rsidR="002154C6" w:rsidRDefault="002154C6" w:rsidP="00E4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4C6" w:rsidRDefault="002154C6" w:rsidP="00E44210">
      <w:r>
        <w:separator/>
      </w:r>
    </w:p>
  </w:footnote>
  <w:footnote w:type="continuationSeparator" w:id="0">
    <w:p w:rsidR="002154C6" w:rsidRDefault="002154C6" w:rsidP="00E44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DA"/>
    <w:rsid w:val="00090191"/>
    <w:rsid w:val="002154C6"/>
    <w:rsid w:val="006835DA"/>
    <w:rsid w:val="009E3DF3"/>
    <w:rsid w:val="00E44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4210"/>
    <w:rPr>
      <w:sz w:val="18"/>
      <w:szCs w:val="18"/>
    </w:rPr>
  </w:style>
  <w:style w:type="paragraph" w:styleId="a4">
    <w:name w:val="footer"/>
    <w:basedOn w:val="a"/>
    <w:link w:val="Char0"/>
    <w:uiPriority w:val="99"/>
    <w:unhideWhenUsed/>
    <w:rsid w:val="00E44210"/>
    <w:pPr>
      <w:tabs>
        <w:tab w:val="center" w:pos="4153"/>
        <w:tab w:val="right" w:pos="8306"/>
      </w:tabs>
      <w:snapToGrid w:val="0"/>
      <w:jc w:val="left"/>
    </w:pPr>
    <w:rPr>
      <w:sz w:val="18"/>
      <w:szCs w:val="18"/>
    </w:rPr>
  </w:style>
  <w:style w:type="character" w:customStyle="1" w:styleId="Char0">
    <w:name w:val="页脚 Char"/>
    <w:basedOn w:val="a0"/>
    <w:link w:val="a4"/>
    <w:uiPriority w:val="99"/>
    <w:rsid w:val="00E442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42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4210"/>
    <w:rPr>
      <w:sz w:val="18"/>
      <w:szCs w:val="18"/>
    </w:rPr>
  </w:style>
  <w:style w:type="paragraph" w:styleId="a4">
    <w:name w:val="footer"/>
    <w:basedOn w:val="a"/>
    <w:link w:val="Char0"/>
    <w:uiPriority w:val="99"/>
    <w:unhideWhenUsed/>
    <w:rsid w:val="00E44210"/>
    <w:pPr>
      <w:tabs>
        <w:tab w:val="center" w:pos="4153"/>
        <w:tab w:val="right" w:pos="8306"/>
      </w:tabs>
      <w:snapToGrid w:val="0"/>
      <w:jc w:val="left"/>
    </w:pPr>
    <w:rPr>
      <w:sz w:val="18"/>
      <w:szCs w:val="18"/>
    </w:rPr>
  </w:style>
  <w:style w:type="character" w:customStyle="1" w:styleId="Char0">
    <w:name w:val="页脚 Char"/>
    <w:basedOn w:val="a0"/>
    <w:link w:val="a4"/>
    <w:uiPriority w:val="99"/>
    <w:rsid w:val="00E4421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52413">
      <w:bodyDiv w:val="1"/>
      <w:marLeft w:val="0"/>
      <w:marRight w:val="0"/>
      <w:marTop w:val="0"/>
      <w:marBottom w:val="0"/>
      <w:divBdr>
        <w:top w:val="none" w:sz="0" w:space="0" w:color="auto"/>
        <w:left w:val="none" w:sz="0" w:space="0" w:color="auto"/>
        <w:bottom w:val="none" w:sz="0" w:space="0" w:color="auto"/>
        <w:right w:val="none" w:sz="0" w:space="0" w:color="auto"/>
      </w:divBdr>
      <w:divsChild>
        <w:div w:id="131677563">
          <w:marLeft w:val="0"/>
          <w:marRight w:val="0"/>
          <w:marTop w:val="0"/>
          <w:marBottom w:val="0"/>
          <w:divBdr>
            <w:top w:val="none" w:sz="0" w:space="0" w:color="auto"/>
            <w:left w:val="none" w:sz="0" w:space="0" w:color="auto"/>
            <w:bottom w:val="none" w:sz="0" w:space="0" w:color="auto"/>
            <w:right w:val="none" w:sz="0" w:space="0" w:color="auto"/>
          </w:divBdr>
          <w:divsChild>
            <w:div w:id="417869752">
              <w:marLeft w:val="0"/>
              <w:marRight w:val="0"/>
              <w:marTop w:val="450"/>
              <w:marBottom w:val="0"/>
              <w:divBdr>
                <w:top w:val="none" w:sz="0" w:space="0" w:color="auto"/>
                <w:left w:val="none" w:sz="0" w:space="0" w:color="auto"/>
                <w:bottom w:val="none" w:sz="0" w:space="0" w:color="auto"/>
                <w:right w:val="none" w:sz="0" w:space="0" w:color="auto"/>
              </w:divBdr>
            </w:div>
            <w:div w:id="77799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699</Words>
  <Characters>3989</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2018-10-16T02:57:00Z</dcterms:created>
  <dcterms:modified xsi:type="dcterms:W3CDTF">2018-11-07T03:52:00Z</dcterms:modified>
</cp:coreProperties>
</file>